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Record</w:t>
      </w:r>
    </w:p>
    <w:p>
      <w:r>
        <w:t>Capture one important decision, why it was made, who owns it, and when it should be reviewed. The companion workbook maintains the continuing log.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4032"/>
      </w:tblGrid>
      <w:tr>
        <w:trPr>
          <w:tblHeader w:val="true"/>
        </w:trPr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Decision ID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Decision date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Project or area</w:t>
            </w:r>
          </w:p>
        </w:tc>
      </w:tr>
      <w:t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2736"/>
        <w:gridCol w:w="2304"/>
        <w:gridCol w:w="2304"/>
      </w:tblGrid>
      <w:tr>
        <w:trPr>
          <w:tblHeader w:val="true"/>
        </w:trPr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Decision owner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Approver or group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Review date</w:t>
            </w:r>
          </w:p>
        </w:tc>
      </w:tr>
      <w:t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Decision and context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Options considered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Rationale and expected effect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4032"/>
      </w:tblGrid>
      <w:tr>
        <w:trPr>
          <w:tblHeader w:val="true"/>
        </w:trPr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Effective date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Supersedes decision ID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Related document</w:t>
            </w:r>
          </w:p>
        </w:tc>
      </w:tr>
      <w:t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r>
        <w:t>Record the decision separately from meeting minutes and change requests. Superseded and cancelled records remain historical, not active review items.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923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